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jc w:val="center"/>
        <w:rPr>
          <w:rFonts w:cs="Times New Roman" w:asciiTheme="majorHAnsi" w:hAnsiTheme="majorHAnsi"/>
          <w:b/>
          <w:bCs/>
        </w:rPr>
      </w:pPr>
      <w:r>
        <w:rPr>
          <w:rFonts w:cs="Times New Roman" w:asciiTheme="majorHAnsi" w:hAnsiTheme="majorHAnsi"/>
          <w:b/>
          <w:bCs/>
        </w:rPr>
        <w:t>BAB V</w:t>
      </w:r>
    </w:p>
    <w:p>
      <w:pPr>
        <w:pStyle w:val="28"/>
        <w:jc w:val="center"/>
        <w:rPr>
          <w:rFonts w:cs="Times New Roman" w:asciiTheme="majorHAnsi" w:hAnsiTheme="majorHAnsi"/>
          <w:b/>
          <w:bCs/>
        </w:rPr>
      </w:pPr>
      <w:r>
        <w:rPr>
          <w:rFonts w:cs="Times New Roman" w:asciiTheme="majorHAnsi" w:hAnsiTheme="majorHAnsi"/>
          <w:b/>
          <w:bCs/>
        </w:rPr>
        <w:t>STRATEGI DAN ARAH KEBIJAKAN</w:t>
      </w:r>
    </w:p>
    <w:p>
      <w:pPr>
        <w:pStyle w:val="29"/>
        <w:autoSpaceDE/>
        <w:autoSpaceDN/>
        <w:adjustRightInd/>
        <w:spacing w:after="200"/>
        <w:ind w:firstLine="0"/>
        <w:rPr>
          <w:rFonts w:asciiTheme="majorHAnsi" w:hAnsiTheme="majorHAnsi"/>
          <w:b/>
          <w:sz w:val="22"/>
          <w:szCs w:val="22"/>
        </w:rPr>
      </w:pPr>
    </w:p>
    <w:p>
      <w:pPr>
        <w:pStyle w:val="29"/>
        <w:autoSpaceDE/>
        <w:autoSpaceDN/>
        <w:adjustRightInd/>
        <w:spacing w:after="200"/>
        <w:ind w:left="0" w:firstLine="0"/>
        <w:rPr>
          <w:rFonts w:asciiTheme="majorHAnsi" w:hAnsiTheme="majorHAnsi"/>
          <w:b/>
          <w:sz w:val="22"/>
          <w:szCs w:val="22"/>
        </w:rPr>
      </w:pPr>
      <w:r>
        <w:rPr>
          <w:rFonts w:asciiTheme="majorHAnsi" w:hAnsiTheme="majorHAnsi"/>
          <w:b/>
          <w:sz w:val="22"/>
          <w:szCs w:val="22"/>
        </w:rPr>
        <w:t>5.1 Strategi dan Kebijakan</w:t>
      </w:r>
    </w:p>
    <w:p>
      <w:pPr>
        <w:pStyle w:val="29"/>
        <w:autoSpaceDE/>
        <w:autoSpaceDN/>
        <w:adjustRightInd/>
        <w:spacing w:after="200"/>
        <w:ind w:left="0" w:firstLine="0"/>
        <w:rPr>
          <w:rFonts w:asciiTheme="majorHAnsi" w:hAnsiTheme="majorHAnsi"/>
          <w:b/>
          <w:sz w:val="22"/>
          <w:szCs w:val="22"/>
        </w:rPr>
      </w:pPr>
    </w:p>
    <w:p>
      <w:pPr>
        <w:pStyle w:val="29"/>
        <w:spacing w:before="120"/>
        <w:ind w:left="0"/>
        <w:rPr>
          <w:rFonts w:cs="Tahoma" w:asciiTheme="majorHAnsi" w:hAnsiTheme="majorHAnsi"/>
          <w:sz w:val="22"/>
          <w:szCs w:val="22"/>
          <w:lang w:eastAsia="en-GB"/>
        </w:rPr>
      </w:pPr>
      <w:r>
        <w:rPr>
          <w:rFonts w:cs="Tahoma" w:asciiTheme="majorHAnsi" w:hAnsiTheme="majorHAnsi"/>
          <w:sz w:val="22"/>
          <w:szCs w:val="22"/>
          <w:lang w:eastAsia="en-GB"/>
        </w:rPr>
        <w:t>Untuk keterarahan pelaksanaan kegiatan operasional dalam rangka pencapaian tujuan dan sasaran sebagai implementasi dan penjabaran visi serta misi, dan untuk pemantapkan pemanfaatan sumber daya yang tersedia secara maksimal diperlukan penetapan strategi dan kebijakan pembangunan di bidang pengelolaan aset.</w:t>
      </w:r>
    </w:p>
    <w:p>
      <w:pPr>
        <w:pStyle w:val="29"/>
        <w:spacing w:before="120"/>
        <w:ind w:left="0"/>
        <w:rPr>
          <w:rFonts w:cs="Tahoma" w:asciiTheme="majorHAnsi" w:hAnsiTheme="majorHAnsi"/>
          <w:sz w:val="22"/>
          <w:szCs w:val="22"/>
          <w:lang w:eastAsia="en-GB"/>
        </w:rPr>
      </w:pPr>
      <w:r>
        <w:rPr>
          <w:rFonts w:cs="Tahoma" w:asciiTheme="majorHAnsi" w:hAnsiTheme="majorHAnsi"/>
          <w:sz w:val="22"/>
          <w:szCs w:val="22"/>
          <w:lang w:eastAsia="en-GB"/>
        </w:rPr>
        <w:t xml:space="preserve">Strategi dan kebijakan dimaksud selanjutnya yang akan menjadi dasar untuk perumusan kegiatan Biro Administrasi Pengadaan dan Pengelolaan Barang Milik Daerah Provinsi Sumatera Barat untuk setiap program prioritas RPJMD yang menjadi tugas dan fungsinya. Strategi dan kebijakan tersebut berperan penting untuk pencapaian tujuan dan sasaran jangka menengah, dan telah diselaraskan dengan strategi dan kebijakan serta rencana program prioritas dalam rancangan awal RPJMD pemerintah Provinsi Sumatera Barat. </w:t>
      </w:r>
      <w:r>
        <w:rPr>
          <w:rFonts w:cs="Tahoma" w:asciiTheme="majorHAnsi" w:hAnsiTheme="majorHAnsi"/>
          <w:b/>
          <w:i/>
          <w:sz w:val="22"/>
          <w:szCs w:val="22"/>
          <w:lang w:eastAsia="en-GB"/>
        </w:rPr>
        <w:t>Strategi</w:t>
      </w:r>
      <w:r>
        <w:rPr>
          <w:rFonts w:cs="Tahoma" w:asciiTheme="majorHAnsi" w:hAnsiTheme="majorHAnsi"/>
          <w:sz w:val="22"/>
          <w:szCs w:val="22"/>
          <w:lang w:eastAsia="en-GB"/>
        </w:rPr>
        <w:t xml:space="preserve"> yang dirumuskan oleh Biro Administrasi Pengadaan dan Pengelolaan Barang Milik Daerah Provinsi Sumatera Barat adalah sebagai berikut:</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Mengefektifkan kesesuaian data aset SKPD dengan data aset daerah melalui mekanisme rekonsiliasi data.</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Menggunakan Sistem Manajemen Barang Milik Daerah (Simbada) sebagai sarana pemutakhiran data Barang Milik Daerah ;</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Mengikutsertakan SKPD-SKPD urusan tertentu dalam penyusunan Standarisasi Harga Barang dan Jasa, demi mencapai standar harga valid dan sesuai kondisi saat ini.</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Meningkatkan progress penyelesaian permasalahaan aset dengan melakukan koordinasi dan konsultasi dengan Pemerintah Pusat dan Kab/Kota.</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Melakukan bimbingan Teknis Pengelolaan Barang Milik Daerah;</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Melakukan pemeliharaan Barang Milik Daerah;</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 xml:space="preserve">Meningkatkan koordinasi dengan SKPD terkait peningkatan keamanan Barang Milik Daerah. </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Mengefektifkan pemanfaatan aset idle sehingga menghasilkan pendapatan daerah.</w:t>
      </w:r>
    </w:p>
    <w:p>
      <w:pPr>
        <w:pStyle w:val="29"/>
        <w:numPr>
          <w:ilvl w:val="0"/>
          <w:numId w:val="2"/>
        </w:numPr>
        <w:autoSpaceDE/>
        <w:autoSpaceDN/>
        <w:adjustRightInd/>
        <w:spacing w:after="200"/>
        <w:rPr>
          <w:rFonts w:asciiTheme="majorHAnsi" w:hAnsiTheme="majorHAnsi"/>
          <w:sz w:val="22"/>
          <w:szCs w:val="22"/>
        </w:rPr>
      </w:pPr>
      <w:r>
        <w:rPr>
          <w:rFonts w:asciiTheme="majorHAnsi" w:hAnsiTheme="majorHAnsi"/>
          <w:sz w:val="22"/>
          <w:szCs w:val="22"/>
        </w:rPr>
        <w:t>Meningkatkan mutu personel Ahli Pengadaan Barang dan Jasa Pemerintah melalui Bimbingan Teknis/Diklat.</w:t>
      </w:r>
    </w:p>
    <w:p>
      <w:pPr>
        <w:rPr>
          <w:rFonts w:asciiTheme="majorHAnsi" w:hAnsiTheme="majorHAnsi"/>
          <w:sz w:val="22"/>
          <w:szCs w:val="22"/>
        </w:rPr>
      </w:pPr>
      <w:r>
        <w:rPr>
          <w:rFonts w:asciiTheme="majorHAnsi" w:hAnsiTheme="majorHAnsi"/>
          <w:sz w:val="22"/>
          <w:szCs w:val="22"/>
        </w:rPr>
        <w:t>Sebagai lembaga yang  berada di lingkungan Sekretariat Daerah, pelaksanaan tupoksi Biro Administrasi Pengadaan dan Pengelolaan Barang Milik Daerah Sekretariat Daerah Provinsi Sumatera Barat didasarkan pada UU No. 32 Tahun 2004, disamping peraturan Daerah Provinsi Sumatera Barat No. 11 Tahun 2011. Menurut ketentuan tersebut, kewajiban dari Sekretariat Daerah adalah menyusun kebijakan serta membina hubungan kerja dengan dinas, lembaga teknis dan unit pelaksana lainnya.</w:t>
      </w:r>
    </w:p>
    <w:p>
      <w:pPr>
        <w:rPr>
          <w:rFonts w:asciiTheme="majorHAnsi" w:hAnsiTheme="majorHAnsi"/>
          <w:sz w:val="22"/>
          <w:szCs w:val="22"/>
        </w:rPr>
      </w:pPr>
      <w:r>
        <w:rPr>
          <w:rFonts w:asciiTheme="majorHAnsi" w:hAnsiTheme="majorHAnsi"/>
          <w:sz w:val="22"/>
          <w:szCs w:val="22"/>
        </w:rPr>
        <w:t>Berdasarkan hal tersebut di atas, Kebijakan yang dilakukan terkait pengelolaan Barang Milik daerah adalah :</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Melaksanakan penyusunan RKBMD dan RKPBMD dua kali dalam setahun guna mengakomodir kebutuhan belanja SKPD pada APBD Murni dan APBD Perubahan;</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Menetapkan nilai Aset Tetap di Neraca dalam Penyusunan LKPD;</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Membuat Peraturan Daerah dan Peraturan Gubernur  tentang Pengelolaan Barang Milik Daerah;</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Mengeluarkan keputusan-keputusan Gubernur tentang Kebijakan Pengelolaan Barang Milik Daerah;</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Menyusun SOP tentang Pengelolaan Barang Milik Daerah;</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Menetapkan status aset-aset bermasalah dengan Keputusan Gubernur;</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Menetapkan pemanfaatan aset idle sebagai sumber pendapatan daerah dengan Keputusan Gubernur;</w:t>
      </w:r>
    </w:p>
    <w:p>
      <w:pPr>
        <w:pStyle w:val="29"/>
        <w:numPr>
          <w:ilvl w:val="0"/>
          <w:numId w:val="3"/>
        </w:numPr>
        <w:autoSpaceDE/>
        <w:autoSpaceDN/>
        <w:adjustRightInd/>
        <w:spacing w:after="200"/>
        <w:rPr>
          <w:rFonts w:asciiTheme="majorHAnsi" w:hAnsiTheme="majorHAnsi"/>
          <w:sz w:val="22"/>
          <w:szCs w:val="22"/>
        </w:rPr>
      </w:pPr>
      <w:r>
        <w:rPr>
          <w:rFonts w:asciiTheme="majorHAnsi" w:hAnsiTheme="majorHAnsi"/>
          <w:sz w:val="22"/>
          <w:szCs w:val="22"/>
        </w:rPr>
        <w:t>Menyusun Peraturan Daerah tentang penempatan Kelompok Kerja (Pokja) Pengadaan Barang dan Jasa dalam satu wadah Unit Layanan Pengadaan.</w:t>
      </w:r>
    </w:p>
    <w:p>
      <w:pPr>
        <w:rPr>
          <w:rFonts w:cs="Tahoma" w:asciiTheme="majorHAnsi" w:hAnsiTheme="majorHAnsi"/>
          <w:sz w:val="22"/>
          <w:szCs w:val="22"/>
        </w:rPr>
      </w:pPr>
      <w:r>
        <w:rPr>
          <w:rFonts w:cs="Tahoma" w:asciiTheme="majorHAnsi" w:hAnsiTheme="majorHAnsi"/>
          <w:sz w:val="22"/>
          <w:szCs w:val="22"/>
        </w:rPr>
        <w:t xml:space="preserve">Rincian atas tujuan, sasaran, serta strategi dan arah kebijakan pembangunan Biro Administrasi Pengadaan dan Pengelolaan Barang Milik Daerah Provinsi Sumatera Barat 5 (lima) tahun kedepan dijabarkan dalam tabel berikut :   </w:t>
      </w:r>
    </w:p>
    <w:p>
      <w:pPr>
        <w:pStyle w:val="29"/>
        <w:snapToGrid w:val="0"/>
        <w:spacing w:after="0"/>
        <w:ind w:left="0" w:firstLine="0"/>
        <w:contextualSpacing w:val="0"/>
        <w:jc w:val="center"/>
        <w:rPr>
          <w:rFonts w:asciiTheme="majorHAnsi" w:hAnsiTheme="majorHAnsi" w:cstheme="minorHAnsi"/>
          <w:b/>
          <w:sz w:val="22"/>
          <w:szCs w:val="22"/>
        </w:rPr>
      </w:pPr>
      <w:r>
        <w:rPr>
          <w:rFonts w:asciiTheme="majorHAnsi" w:hAnsiTheme="majorHAnsi" w:cstheme="minorHAnsi"/>
          <w:b/>
          <w:sz w:val="22"/>
          <w:szCs w:val="22"/>
        </w:rPr>
        <w:t>Tabel. 5.1</w:t>
      </w:r>
    </w:p>
    <w:p>
      <w:pPr>
        <w:snapToGrid w:val="0"/>
        <w:spacing w:after="0"/>
        <w:ind w:firstLine="0"/>
        <w:jc w:val="center"/>
        <w:rPr>
          <w:rFonts w:asciiTheme="majorHAnsi" w:hAnsiTheme="majorHAnsi" w:cstheme="minorHAnsi"/>
          <w:b/>
          <w:sz w:val="22"/>
          <w:szCs w:val="22"/>
        </w:rPr>
      </w:pPr>
      <w:r>
        <w:rPr>
          <w:rFonts w:asciiTheme="majorHAnsi" w:hAnsiTheme="majorHAnsi" w:cstheme="minorHAnsi"/>
          <w:b/>
          <w:sz w:val="22"/>
          <w:szCs w:val="22"/>
        </w:rPr>
        <w:t xml:space="preserve">Tujuan, Sasaran, Strategi, dan Kebijakan </w:t>
      </w:r>
    </w:p>
    <w:p>
      <w:pPr>
        <w:snapToGrid w:val="0"/>
        <w:spacing w:after="0"/>
        <w:ind w:firstLine="0"/>
        <w:jc w:val="center"/>
        <w:rPr>
          <w:rFonts w:asciiTheme="majorHAnsi" w:hAnsiTheme="majorHAnsi" w:cstheme="minorHAnsi"/>
          <w:b/>
          <w:sz w:val="22"/>
          <w:szCs w:val="22"/>
        </w:rPr>
      </w:pPr>
      <w:r>
        <w:rPr>
          <w:rFonts w:asciiTheme="majorHAnsi" w:hAnsiTheme="majorHAnsi" w:cstheme="minorHAnsi"/>
          <w:b/>
          <w:sz w:val="22"/>
          <w:szCs w:val="22"/>
        </w:rPr>
        <w:t>Biro Administrasi Pengadaan dan Pengelolaan Barang Milik Daerah</w:t>
      </w:r>
    </w:p>
    <w:tbl>
      <w:tblPr>
        <w:tblStyle w:val="17"/>
        <w:tblpPr w:leftFromText="180" w:rightFromText="180" w:vertAnchor="text" w:horzAnchor="margin" w:tblpXSpec="center" w:tblpY="175"/>
        <w:tblW w:w="9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701"/>
        <w:gridCol w:w="2835"/>
        <w:gridCol w:w="2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blHeader/>
        </w:trPr>
        <w:tc>
          <w:tcPr>
            <w:tcW w:w="9324" w:type="dxa"/>
            <w:gridSpan w:val="4"/>
          </w:tcPr>
          <w:p>
            <w:pPr>
              <w:snapToGrid w:val="0"/>
              <w:spacing w:after="0"/>
              <w:ind w:left="284" w:hanging="284"/>
              <w:rPr>
                <w:rFonts w:asciiTheme="majorHAnsi" w:hAnsiTheme="majorHAnsi" w:cstheme="minorHAnsi"/>
                <w:b/>
                <w:sz w:val="16"/>
                <w:szCs w:val="16"/>
              </w:rPr>
            </w:pPr>
            <w:r>
              <w:rPr>
                <w:rFonts w:asciiTheme="majorHAnsi" w:hAnsiTheme="majorHAnsi" w:cstheme="minorHAnsi"/>
                <w:b/>
                <w:sz w:val="16"/>
                <w:szCs w:val="16"/>
              </w:rPr>
              <w:t>Visi</w:t>
            </w:r>
            <w:r>
              <w:rPr>
                <w:rFonts w:asciiTheme="majorHAnsi" w:hAnsiTheme="majorHAnsi" w:cstheme="minorHAnsi"/>
                <w:b/>
                <w:sz w:val="16"/>
                <w:szCs w:val="16"/>
              </w:rPr>
              <w:tab/>
            </w:r>
            <w:r>
              <w:rPr>
                <w:rFonts w:asciiTheme="majorHAnsi" w:hAnsiTheme="majorHAnsi" w:cstheme="minorHAnsi"/>
                <w:b/>
                <w:sz w:val="16"/>
                <w:szCs w:val="16"/>
              </w:rPr>
              <w:t xml:space="preserve">: </w:t>
            </w:r>
          </w:p>
          <w:p>
            <w:pPr>
              <w:spacing w:line="240" w:lineRule="auto"/>
              <w:ind w:right="720" w:firstLine="0"/>
              <w:rPr>
                <w:rFonts w:ascii="Tahoma" w:hAnsi="Tahoma" w:cs="Tahoma"/>
                <w:b/>
                <w:i/>
                <w:sz w:val="16"/>
                <w:szCs w:val="16"/>
              </w:rPr>
            </w:pPr>
            <w:r>
              <w:rPr>
                <w:rFonts w:asciiTheme="majorHAnsi" w:hAnsiTheme="majorHAnsi" w:cstheme="minorHAnsi"/>
                <w:b/>
                <w:i/>
                <w:sz w:val="16"/>
                <w:szCs w:val="16"/>
              </w:rPr>
              <w:t>“</w:t>
            </w:r>
            <w:r>
              <w:rPr>
                <w:rFonts w:ascii="Tahoma" w:hAnsi="Tahoma" w:cs="Tahoma"/>
                <w:b/>
                <w:i/>
                <w:sz w:val="16"/>
                <w:szCs w:val="16"/>
              </w:rPr>
              <w:t>Terwujudnya Tertib Pengelolaan Barang Milik Daerah dan Pengadaan Barang dan Jasa Pemerintah yang Efektif dan Efisien, Akurat dan Akuntabel</w:t>
            </w:r>
            <w:r>
              <w:rPr>
                <w:rFonts w:asciiTheme="majorHAnsi" w:hAnsiTheme="majorHAnsi" w:cstheme="minorHAnsi"/>
                <w:b/>
                <w:i/>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blHeader/>
        </w:trPr>
        <w:tc>
          <w:tcPr>
            <w:tcW w:w="9324" w:type="dxa"/>
            <w:gridSpan w:val="4"/>
          </w:tcPr>
          <w:p>
            <w:pPr>
              <w:snapToGrid w:val="0"/>
              <w:spacing w:after="0"/>
              <w:ind w:firstLine="0"/>
              <w:rPr>
                <w:rFonts w:hint="default" w:asciiTheme="majorHAnsi" w:hAnsiTheme="majorHAnsi" w:cstheme="minorHAnsi"/>
                <w:b/>
                <w:sz w:val="16"/>
                <w:szCs w:val="16"/>
              </w:rPr>
            </w:pPr>
            <w:r>
              <w:rPr>
                <w:rFonts w:asciiTheme="majorHAnsi" w:hAnsiTheme="majorHAnsi" w:cstheme="minorHAnsi"/>
                <w:b/>
                <w:sz w:val="16"/>
                <w:szCs w:val="16"/>
              </w:rPr>
              <w:t xml:space="preserve">Misi </w:t>
            </w:r>
            <w:r>
              <w:rPr>
                <w:rFonts w:hint="default" w:asciiTheme="majorHAnsi" w:hAnsiTheme="majorHAnsi" w:cstheme="minorHAnsi"/>
                <w:b/>
                <w:sz w:val="16"/>
                <w:szCs w:val="16"/>
              </w:rPr>
              <w:t>2</w:t>
            </w:r>
            <w:r>
              <w:rPr>
                <w:rFonts w:asciiTheme="majorHAnsi" w:hAnsiTheme="majorHAnsi" w:cstheme="minorHAnsi"/>
                <w:b/>
                <w:sz w:val="16"/>
                <w:szCs w:val="16"/>
              </w:rPr>
              <w:t xml:space="preserve"> : Meningkatkan </w:t>
            </w:r>
            <w:r>
              <w:rPr>
                <w:rFonts w:hint="default" w:asciiTheme="majorHAnsi" w:hAnsiTheme="majorHAnsi" w:cstheme="minorHAnsi"/>
                <w:b/>
                <w:sz w:val="16"/>
                <w:szCs w:val="16"/>
              </w:rPr>
              <w:t>Tata Pemerintahan yang Baik, Bersih dan Profesional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blHeader/>
        </w:trPr>
        <w:tc>
          <w:tcPr>
            <w:tcW w:w="1809" w:type="dxa"/>
          </w:tcPr>
          <w:p>
            <w:pPr>
              <w:snapToGrid w:val="0"/>
              <w:spacing w:after="0"/>
              <w:ind w:firstLine="0"/>
              <w:jc w:val="center"/>
              <w:rPr>
                <w:rFonts w:asciiTheme="majorHAnsi" w:hAnsiTheme="majorHAnsi" w:cstheme="minorHAnsi"/>
                <w:b/>
                <w:sz w:val="16"/>
                <w:szCs w:val="16"/>
              </w:rPr>
            </w:pPr>
            <w:r>
              <w:rPr>
                <w:rFonts w:asciiTheme="majorHAnsi" w:hAnsiTheme="majorHAnsi" w:cstheme="minorHAnsi"/>
                <w:b/>
                <w:sz w:val="16"/>
                <w:szCs w:val="16"/>
              </w:rPr>
              <w:t>Tujuan</w:t>
            </w:r>
          </w:p>
        </w:tc>
        <w:tc>
          <w:tcPr>
            <w:tcW w:w="1701" w:type="dxa"/>
          </w:tcPr>
          <w:p>
            <w:pPr>
              <w:snapToGrid w:val="0"/>
              <w:spacing w:after="0"/>
              <w:ind w:firstLine="0"/>
              <w:jc w:val="center"/>
              <w:rPr>
                <w:rFonts w:asciiTheme="majorHAnsi" w:hAnsiTheme="majorHAnsi" w:cstheme="minorHAnsi"/>
                <w:b/>
                <w:sz w:val="16"/>
                <w:szCs w:val="16"/>
              </w:rPr>
            </w:pPr>
            <w:r>
              <w:rPr>
                <w:rFonts w:asciiTheme="majorHAnsi" w:hAnsiTheme="majorHAnsi" w:cstheme="minorHAnsi"/>
                <w:b/>
                <w:sz w:val="16"/>
                <w:szCs w:val="16"/>
              </w:rPr>
              <w:t>Sasaran</w:t>
            </w:r>
          </w:p>
        </w:tc>
        <w:tc>
          <w:tcPr>
            <w:tcW w:w="2835" w:type="dxa"/>
          </w:tcPr>
          <w:p>
            <w:pPr>
              <w:snapToGrid w:val="0"/>
              <w:spacing w:after="0"/>
              <w:ind w:firstLine="0"/>
              <w:jc w:val="center"/>
              <w:rPr>
                <w:rFonts w:asciiTheme="majorHAnsi" w:hAnsiTheme="majorHAnsi" w:cstheme="minorHAnsi"/>
                <w:b/>
                <w:sz w:val="16"/>
                <w:szCs w:val="16"/>
              </w:rPr>
            </w:pPr>
            <w:r>
              <w:rPr>
                <w:rFonts w:asciiTheme="majorHAnsi" w:hAnsiTheme="majorHAnsi" w:cstheme="minorHAnsi"/>
                <w:b/>
                <w:sz w:val="16"/>
                <w:szCs w:val="16"/>
              </w:rPr>
              <w:t>Strategi</w:t>
            </w:r>
          </w:p>
        </w:tc>
        <w:tc>
          <w:tcPr>
            <w:tcW w:w="2979" w:type="dxa"/>
          </w:tcPr>
          <w:p>
            <w:pPr>
              <w:snapToGrid w:val="0"/>
              <w:spacing w:after="0"/>
              <w:ind w:firstLine="0"/>
              <w:jc w:val="center"/>
              <w:rPr>
                <w:rFonts w:hint="default" w:asciiTheme="majorHAnsi" w:hAnsiTheme="majorHAnsi" w:cstheme="minorHAnsi"/>
                <w:b/>
                <w:sz w:val="16"/>
                <w:szCs w:val="16"/>
              </w:rPr>
            </w:pPr>
            <w:r>
              <w:rPr>
                <w:rFonts w:asciiTheme="majorHAnsi" w:hAnsiTheme="majorHAnsi" w:cstheme="minorHAnsi"/>
                <w:b/>
                <w:sz w:val="16"/>
                <w:szCs w:val="16"/>
              </w:rPr>
              <w:t>Kebijakan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09" w:type="dxa"/>
          </w:tcPr>
          <w:p>
            <w:pPr>
              <w:snapToGrid w:val="0"/>
              <w:spacing w:after="0"/>
              <w:ind w:firstLine="0"/>
              <w:jc w:val="both"/>
              <w:rPr>
                <w:rFonts w:hint="default" w:ascii="Cambria" w:hAnsi="Cambria" w:cs="Cambria"/>
                <w:sz w:val="16"/>
                <w:szCs w:val="16"/>
              </w:rPr>
            </w:pPr>
            <w:r>
              <w:rPr>
                <w:rFonts w:hint="default" w:hAnsi="Cambria" w:cs="Cambria" w:asciiTheme="majorAscii"/>
                <w:sz w:val="16"/>
                <w:szCs w:val="16"/>
              </w:rPr>
              <w:t>Meningkatnya kualitas penyelenggaraan pengelolaan BMD</w:t>
            </w:r>
          </w:p>
        </w:tc>
        <w:tc>
          <w:tcPr>
            <w:tcW w:w="1701" w:type="dxa"/>
          </w:tcPr>
          <w:p>
            <w:pPr>
              <w:numPr>
                <w:ilvl w:val="0"/>
                <w:numId w:val="4"/>
              </w:numPr>
              <w:autoSpaceDE/>
              <w:autoSpaceDN/>
              <w:adjustRightInd/>
              <w:snapToGrid w:val="0"/>
              <w:spacing w:after="0"/>
              <w:ind w:left="181" w:hanging="181"/>
              <w:jc w:val="both"/>
              <w:rPr>
                <w:rFonts w:hint="default" w:ascii="Cambria" w:hAnsi="Cambria" w:cs="Cambria"/>
                <w:sz w:val="16"/>
                <w:szCs w:val="16"/>
              </w:rPr>
            </w:pPr>
            <w:r>
              <w:rPr>
                <w:rFonts w:hint="default" w:ascii="Cambria" w:hAnsi="Cambria" w:cs="Cambria"/>
                <w:sz w:val="16"/>
                <w:szCs w:val="16"/>
              </w:rPr>
              <w:t>Tertib Pengelolaan Barang Milik Daerah</w:t>
            </w:r>
          </w:p>
        </w:tc>
        <w:tc>
          <w:tcPr>
            <w:tcW w:w="2835" w:type="dxa"/>
          </w:tcPr>
          <w:p>
            <w:pPr>
              <w:pStyle w:val="29"/>
              <w:numPr>
                <w:ilvl w:val="0"/>
                <w:numId w:val="5"/>
              </w:numPr>
              <w:autoSpaceDE/>
              <w:autoSpaceDN/>
              <w:adjustRightInd/>
              <w:spacing w:after="200"/>
              <w:ind w:left="173" w:hanging="173"/>
              <w:jc w:val="both"/>
              <w:rPr>
                <w:rFonts w:asciiTheme="majorHAnsi" w:hAnsiTheme="majorHAnsi"/>
                <w:sz w:val="16"/>
                <w:szCs w:val="16"/>
              </w:rPr>
            </w:pPr>
            <w:r>
              <w:rPr>
                <w:rFonts w:asciiTheme="majorHAnsi" w:hAnsiTheme="majorHAnsi"/>
                <w:sz w:val="16"/>
                <w:szCs w:val="16"/>
              </w:rPr>
              <w:t>Me</w:t>
            </w:r>
            <w:r>
              <w:rPr>
                <w:rFonts w:hint="default" w:asciiTheme="majorHAnsi" w:hAnsiTheme="majorHAnsi"/>
                <w:sz w:val="16"/>
                <w:szCs w:val="16"/>
              </w:rPr>
              <w:t>nertibkan</w:t>
            </w:r>
            <w:r>
              <w:rPr>
                <w:rFonts w:asciiTheme="majorHAnsi" w:hAnsiTheme="majorHAnsi"/>
                <w:sz w:val="16"/>
                <w:szCs w:val="16"/>
              </w:rPr>
              <w:t xml:space="preserve"> </w:t>
            </w:r>
            <w:r>
              <w:rPr>
                <w:rFonts w:hint="default" w:asciiTheme="majorHAnsi" w:hAnsiTheme="majorHAnsi"/>
                <w:sz w:val="16"/>
                <w:szCs w:val="16"/>
              </w:rPr>
              <w:t>perencanaan</w:t>
            </w:r>
          </w:p>
          <w:p>
            <w:pPr>
              <w:pStyle w:val="29"/>
              <w:numPr>
                <w:ilvl w:val="0"/>
                <w:numId w:val="5"/>
              </w:numPr>
              <w:autoSpaceDE/>
              <w:autoSpaceDN/>
              <w:adjustRightInd/>
              <w:spacing w:after="200"/>
              <w:ind w:left="173" w:hanging="173"/>
              <w:jc w:val="both"/>
              <w:rPr>
                <w:rFonts w:asciiTheme="majorHAnsi" w:hAnsiTheme="majorHAnsi"/>
                <w:sz w:val="16"/>
                <w:szCs w:val="16"/>
              </w:rPr>
            </w:pPr>
            <w:r>
              <w:rPr>
                <w:rFonts w:hint="default" w:asciiTheme="majorHAnsi" w:hAnsiTheme="majorHAnsi"/>
                <w:sz w:val="16"/>
                <w:szCs w:val="16"/>
              </w:rPr>
              <w:t>Menertibkan pengadaan barang dan jasa</w:t>
            </w:r>
          </w:p>
          <w:p>
            <w:pPr>
              <w:pStyle w:val="29"/>
              <w:numPr>
                <w:ilvl w:val="0"/>
                <w:numId w:val="5"/>
              </w:numPr>
              <w:autoSpaceDE/>
              <w:autoSpaceDN/>
              <w:adjustRightInd/>
              <w:spacing w:after="200"/>
              <w:ind w:left="173" w:hanging="173"/>
              <w:jc w:val="both"/>
              <w:rPr>
                <w:rFonts w:asciiTheme="majorHAnsi" w:hAnsiTheme="majorHAnsi"/>
                <w:sz w:val="16"/>
                <w:szCs w:val="16"/>
              </w:rPr>
            </w:pPr>
            <w:r>
              <w:rPr>
                <w:rFonts w:asciiTheme="majorHAnsi" w:hAnsiTheme="majorHAnsi"/>
                <w:sz w:val="16"/>
                <w:szCs w:val="16"/>
              </w:rPr>
              <w:t>Men</w:t>
            </w:r>
            <w:r>
              <w:rPr>
                <w:rFonts w:hint="default" w:asciiTheme="majorHAnsi" w:hAnsiTheme="majorHAnsi"/>
                <w:sz w:val="16"/>
                <w:szCs w:val="16"/>
              </w:rPr>
              <w:t>ertibkan administrasi Barang Milik Daerah</w:t>
            </w:r>
          </w:p>
        </w:tc>
        <w:tc>
          <w:tcPr>
            <w:tcW w:w="2979" w:type="dxa"/>
          </w:tcPr>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Membuat Peraturan Daerah dan Peraturan Gubernur  tentang Pengelolaan Barang Milik Daerah</w:t>
            </w:r>
          </w:p>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Mengeluarkan keputusan-keputusan Gubernur tentang Kebijakan Pengelolaan Barang Milik Daerah</w:t>
            </w:r>
          </w:p>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Melaksanakan penyusunan RKBMD dan RKPBMD dua kali dalam setahun guna mengakomodir kebutuhan belanja SKPD pada APBD Murni dan APBD Perubahan;</w:t>
            </w:r>
          </w:p>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Menetapkan nilai Aset Tetap di Neraca dalam penyusunan LKPD</w:t>
            </w:r>
          </w:p>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 xml:space="preserve">Menyusun Peraturan Gubernur tentang penempatan Kelompok Kerja (Pokja) Pengadaan Barang dan Jasa dalam satu wadah Unit </w:t>
            </w:r>
            <w:r>
              <w:rPr>
                <w:rFonts w:hint="default" w:asciiTheme="majorHAnsi" w:hAnsiTheme="majorHAnsi"/>
                <w:sz w:val="16"/>
                <w:szCs w:val="16"/>
              </w:rPr>
              <w:t>Kerja</w:t>
            </w:r>
            <w:r>
              <w:rPr>
                <w:rFonts w:asciiTheme="majorHAnsi" w:hAnsiTheme="majorHAnsi"/>
                <w:sz w:val="16"/>
                <w:szCs w:val="16"/>
              </w:rPr>
              <w:t xml:space="preserve"> Pengadaan</w:t>
            </w:r>
            <w:r>
              <w:rPr>
                <w:rFonts w:hint="default" w:asciiTheme="majorHAnsi" w:hAnsiTheme="majorHAnsi"/>
                <w:sz w:val="16"/>
                <w:szCs w:val="16"/>
              </w:rPr>
              <w:t xml:space="preserve"> Barang dan Jasa</w:t>
            </w:r>
            <w:r>
              <w:rPr>
                <w:rFonts w:asciiTheme="majorHAnsi" w:hAnsiTheme="majorHAnsi"/>
                <w:sz w:val="16"/>
                <w:szCs w:val="16"/>
              </w:rPr>
              <w:t xml:space="preserve"> (U</w:t>
            </w:r>
            <w:r>
              <w:rPr>
                <w:rFonts w:hint="default" w:asciiTheme="majorHAnsi" w:hAnsiTheme="majorHAnsi"/>
                <w:sz w:val="16"/>
                <w:szCs w:val="16"/>
              </w:rPr>
              <w:t>K</w:t>
            </w:r>
            <w:r>
              <w:rPr>
                <w:rFonts w:asciiTheme="majorHAnsi" w:hAnsiTheme="majorHAnsi"/>
                <w:sz w:val="16"/>
                <w:szCs w:val="16"/>
              </w:rPr>
              <w:t>P</w:t>
            </w:r>
            <w:r>
              <w:rPr>
                <w:rFonts w:hint="default" w:asciiTheme="majorHAnsi" w:hAnsiTheme="majorHAnsi"/>
                <w:sz w:val="16"/>
                <w:szCs w:val="16"/>
              </w:rPr>
              <w:t>BJ</w:t>
            </w:r>
            <w:r>
              <w:rPr>
                <w:rFonts w:asciiTheme="majorHAnsi" w:hAnsiTheme="majorHAnsi"/>
                <w:sz w:val="16"/>
                <w:szCs w:val="16"/>
              </w:rPr>
              <w:t>)</w:t>
            </w:r>
          </w:p>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Menyusun SOP tentang Pengelolaan Barang Milik Daerah;</w:t>
            </w:r>
          </w:p>
          <w:p>
            <w:pPr>
              <w:pStyle w:val="29"/>
              <w:numPr>
                <w:ilvl w:val="0"/>
                <w:numId w:val="6"/>
              </w:numPr>
              <w:tabs>
                <w:tab w:val="left" w:pos="240"/>
                <w:tab w:val="clear" w:pos="425"/>
              </w:tabs>
              <w:autoSpaceDE/>
              <w:autoSpaceDN/>
              <w:adjustRightInd/>
              <w:spacing w:after="200"/>
              <w:ind w:left="245" w:leftChars="0" w:hanging="245" w:firstLineChars="0"/>
              <w:rPr>
                <w:rFonts w:asciiTheme="majorHAnsi" w:hAnsiTheme="majorHAnsi"/>
                <w:sz w:val="16"/>
                <w:szCs w:val="16"/>
              </w:rPr>
            </w:pPr>
            <w:r>
              <w:rPr>
                <w:rFonts w:asciiTheme="majorHAnsi" w:hAnsiTheme="majorHAnsi"/>
                <w:sz w:val="16"/>
                <w:szCs w:val="16"/>
              </w:rPr>
              <w:t>Menetapkan status aset-aset bermasalah dengan Keputusan Gubernur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809" w:type="dxa"/>
          </w:tcPr>
          <w:p>
            <w:pPr>
              <w:snapToGrid w:val="0"/>
              <w:spacing w:after="0"/>
              <w:ind w:firstLine="0"/>
              <w:jc w:val="left"/>
              <w:rPr>
                <w:rFonts w:asciiTheme="majorHAnsi" w:hAnsiTheme="majorHAnsi" w:cstheme="minorHAnsi"/>
                <w:sz w:val="16"/>
                <w:szCs w:val="16"/>
              </w:rPr>
            </w:pPr>
          </w:p>
        </w:tc>
        <w:tc>
          <w:tcPr>
            <w:tcW w:w="1701" w:type="dxa"/>
          </w:tcPr>
          <w:p>
            <w:pPr>
              <w:numPr>
                <w:ilvl w:val="0"/>
                <w:numId w:val="4"/>
              </w:numPr>
              <w:autoSpaceDE/>
              <w:autoSpaceDN/>
              <w:adjustRightInd/>
              <w:snapToGrid w:val="0"/>
              <w:spacing w:after="0"/>
              <w:ind w:left="181" w:leftChars="0" w:hanging="181" w:firstLineChars="0"/>
              <w:jc w:val="left"/>
              <w:rPr>
                <w:rFonts w:hint="default" w:asciiTheme="majorHAnsi" w:hAnsiTheme="majorHAnsi" w:cstheme="minorHAnsi"/>
                <w:sz w:val="16"/>
                <w:szCs w:val="16"/>
              </w:rPr>
            </w:pPr>
            <w:r>
              <w:rPr>
                <w:rFonts w:hint="default" w:asciiTheme="majorHAnsi" w:hAnsiTheme="majorHAnsi" w:cstheme="minorHAnsi"/>
                <w:sz w:val="16"/>
                <w:szCs w:val="16"/>
              </w:rPr>
              <w:t>Meningkatnya Tata Kelola Organisasi</w:t>
            </w:r>
          </w:p>
        </w:tc>
        <w:tc>
          <w:tcPr>
            <w:tcW w:w="2835" w:type="dxa"/>
          </w:tcPr>
          <w:p>
            <w:pPr>
              <w:pStyle w:val="29"/>
              <w:numPr>
                <w:ilvl w:val="0"/>
                <w:numId w:val="7"/>
              </w:numPr>
              <w:autoSpaceDE/>
              <w:autoSpaceDN/>
              <w:adjustRightInd/>
              <w:spacing w:after="200"/>
              <w:ind w:left="171" w:hanging="171"/>
              <w:rPr>
                <w:rFonts w:asciiTheme="majorHAnsi" w:hAnsiTheme="majorHAnsi"/>
                <w:sz w:val="16"/>
                <w:szCs w:val="16"/>
              </w:rPr>
            </w:pPr>
            <w:r>
              <w:rPr>
                <w:rFonts w:asciiTheme="majorHAnsi" w:hAnsiTheme="majorHAnsi"/>
                <w:sz w:val="16"/>
                <w:szCs w:val="16"/>
              </w:rPr>
              <w:t>Meningka</w:t>
            </w:r>
            <w:r>
              <w:rPr>
                <w:rFonts w:hint="default" w:asciiTheme="majorHAnsi" w:hAnsiTheme="majorHAnsi"/>
                <w:sz w:val="16"/>
                <w:szCs w:val="16"/>
              </w:rPr>
              <w:t>tkan kualitas perencanaan dan pelaporan organisasi</w:t>
            </w:r>
          </w:p>
          <w:p>
            <w:pPr>
              <w:pStyle w:val="29"/>
              <w:numPr>
                <w:ilvl w:val="0"/>
                <w:numId w:val="7"/>
              </w:numPr>
              <w:autoSpaceDE/>
              <w:autoSpaceDN/>
              <w:adjustRightInd/>
              <w:spacing w:after="0"/>
              <w:ind w:left="171" w:hanging="171"/>
              <w:rPr>
                <w:rFonts w:asciiTheme="majorHAnsi" w:hAnsiTheme="majorHAnsi"/>
                <w:sz w:val="16"/>
                <w:szCs w:val="16"/>
              </w:rPr>
            </w:pPr>
            <w:r>
              <w:rPr>
                <w:rFonts w:asciiTheme="majorHAnsi" w:hAnsiTheme="majorHAnsi"/>
                <w:sz w:val="16"/>
                <w:szCs w:val="16"/>
              </w:rPr>
              <w:t>Me</w:t>
            </w:r>
            <w:r>
              <w:rPr>
                <w:rFonts w:hint="default" w:asciiTheme="majorHAnsi" w:hAnsiTheme="majorHAnsi"/>
                <w:sz w:val="16"/>
                <w:szCs w:val="16"/>
              </w:rPr>
              <w:t>ningkatkan kualitas pelayanan internal organisasi</w:t>
            </w:r>
          </w:p>
          <w:p>
            <w:pPr>
              <w:pStyle w:val="29"/>
              <w:numPr>
                <w:ilvl w:val="0"/>
                <w:numId w:val="7"/>
              </w:numPr>
              <w:autoSpaceDE/>
              <w:autoSpaceDN/>
              <w:adjustRightInd/>
              <w:spacing w:after="200"/>
              <w:ind w:left="171" w:hanging="171"/>
              <w:rPr>
                <w:rFonts w:asciiTheme="majorHAnsi" w:hAnsiTheme="majorHAnsi"/>
                <w:sz w:val="16"/>
                <w:szCs w:val="16"/>
              </w:rPr>
            </w:pPr>
            <w:r>
              <w:rPr>
                <w:rFonts w:asciiTheme="majorHAnsi" w:hAnsiTheme="majorHAnsi"/>
                <w:sz w:val="16"/>
                <w:szCs w:val="16"/>
              </w:rPr>
              <w:t>Me</w:t>
            </w:r>
            <w:r>
              <w:rPr>
                <w:rFonts w:hint="default" w:asciiTheme="majorHAnsi" w:hAnsiTheme="majorHAnsi"/>
                <w:sz w:val="16"/>
                <w:szCs w:val="16"/>
              </w:rPr>
              <w:t>ningkatkan kualitas penatausahaan keuangan</w:t>
            </w:r>
          </w:p>
          <w:p>
            <w:pPr>
              <w:pStyle w:val="29"/>
              <w:numPr>
                <w:ilvl w:val="0"/>
                <w:numId w:val="7"/>
              </w:numPr>
              <w:autoSpaceDE/>
              <w:autoSpaceDN/>
              <w:adjustRightInd/>
              <w:spacing w:after="200"/>
              <w:ind w:left="171" w:hanging="171"/>
              <w:rPr>
                <w:rFonts w:asciiTheme="majorHAnsi" w:hAnsiTheme="majorHAnsi"/>
                <w:sz w:val="16"/>
                <w:szCs w:val="16"/>
              </w:rPr>
            </w:pPr>
            <w:r>
              <w:rPr>
                <w:rFonts w:hint="default" w:asciiTheme="majorHAnsi" w:hAnsiTheme="majorHAnsi"/>
                <w:sz w:val="16"/>
                <w:szCs w:val="16"/>
              </w:rPr>
              <w:t>Meningkatkan pengawasan internal organisasi</w:t>
            </w:r>
          </w:p>
        </w:tc>
        <w:tc>
          <w:tcPr>
            <w:tcW w:w="2979" w:type="dxa"/>
          </w:tcPr>
          <w:p>
            <w:pPr>
              <w:pStyle w:val="29"/>
              <w:numPr>
                <w:ilvl w:val="0"/>
                <w:numId w:val="8"/>
              </w:numPr>
              <w:autoSpaceDE/>
              <w:autoSpaceDN/>
              <w:adjustRightInd/>
              <w:spacing w:after="200"/>
              <w:ind w:left="234" w:leftChars="0" w:hanging="234" w:firstLineChars="0"/>
              <w:rPr>
                <w:rFonts w:hint="default" w:asciiTheme="majorHAnsi" w:hAnsiTheme="majorHAnsi"/>
                <w:sz w:val="16"/>
                <w:szCs w:val="16"/>
                <w:lang/>
              </w:rPr>
            </w:pPr>
            <w:r>
              <w:rPr>
                <w:rFonts w:hint="default" w:asciiTheme="majorHAnsi" w:hAnsiTheme="majorHAnsi"/>
                <w:sz w:val="16"/>
                <w:szCs w:val="16"/>
                <w:lang/>
              </w:rPr>
              <w:t xml:space="preserve">  Menyusun SOP perencanaan melaksanakan</w:t>
            </w:r>
          </w:p>
          <w:p>
            <w:pPr>
              <w:pStyle w:val="29"/>
              <w:numPr>
                <w:ilvl w:val="0"/>
                <w:numId w:val="8"/>
              </w:numPr>
              <w:autoSpaceDE/>
              <w:autoSpaceDN/>
              <w:adjustRightInd/>
              <w:spacing w:after="200"/>
              <w:ind w:left="234" w:leftChars="0" w:hanging="234" w:firstLineChars="0"/>
              <w:rPr>
                <w:rFonts w:hint="default" w:asciiTheme="majorHAnsi" w:hAnsiTheme="majorHAnsi"/>
                <w:sz w:val="16"/>
                <w:szCs w:val="16"/>
                <w:lang/>
              </w:rPr>
            </w:pPr>
            <w:r>
              <w:rPr>
                <w:rFonts w:hint="default" w:asciiTheme="majorHAnsi" w:hAnsiTheme="majorHAnsi"/>
                <w:sz w:val="16"/>
                <w:szCs w:val="16"/>
                <w:lang/>
              </w:rPr>
              <w:t xml:space="preserve"> Melaksanakan pelaporan keuangan organisasi tepat waktu</w:t>
            </w:r>
          </w:p>
          <w:p>
            <w:pPr>
              <w:pStyle w:val="29"/>
              <w:numPr>
                <w:ilvl w:val="0"/>
                <w:numId w:val="8"/>
              </w:numPr>
              <w:autoSpaceDE/>
              <w:autoSpaceDN/>
              <w:adjustRightInd/>
              <w:spacing w:after="200"/>
              <w:ind w:left="234" w:leftChars="0" w:hanging="234" w:firstLineChars="0"/>
              <w:rPr>
                <w:rFonts w:hint="default" w:asciiTheme="majorHAnsi" w:hAnsiTheme="majorHAnsi"/>
                <w:sz w:val="16"/>
                <w:szCs w:val="16"/>
                <w:lang/>
              </w:rPr>
            </w:pPr>
            <w:r>
              <w:rPr>
                <w:rFonts w:hint="default" w:asciiTheme="majorHAnsi" w:hAnsiTheme="majorHAnsi"/>
                <w:sz w:val="16"/>
                <w:szCs w:val="16"/>
                <w:lang/>
              </w:rPr>
              <w:t xml:space="preserve"> Meningkatkan tata kelola organisasi dan SDM</w:t>
            </w:r>
            <w:bookmarkStart w:id="0" w:name="_GoBack"/>
            <w:bookmarkEnd w:id="0"/>
          </w:p>
          <w:p>
            <w:pPr>
              <w:pStyle w:val="29"/>
              <w:numPr>
                <w:ilvl w:val="0"/>
                <w:numId w:val="8"/>
              </w:numPr>
              <w:autoSpaceDE/>
              <w:autoSpaceDN/>
              <w:adjustRightInd/>
              <w:spacing w:after="200"/>
              <w:ind w:left="234" w:leftChars="0" w:hanging="234" w:firstLineChars="0"/>
              <w:rPr>
                <w:rFonts w:hint="default" w:asciiTheme="majorHAnsi" w:hAnsiTheme="majorHAnsi"/>
                <w:sz w:val="16"/>
                <w:szCs w:val="16"/>
                <w:lang/>
              </w:rPr>
            </w:pPr>
            <w:r>
              <w:rPr>
                <w:rFonts w:hint="default" w:asciiTheme="majorHAnsi" w:hAnsiTheme="majorHAnsi"/>
                <w:sz w:val="16"/>
                <w:szCs w:val="16"/>
                <w:lang/>
              </w:rPr>
              <w:t xml:space="preserve">  Memberikan reward dan punishment untuk internal organisasi</w:t>
            </w:r>
          </w:p>
          <w:p>
            <w:pPr>
              <w:pStyle w:val="29"/>
              <w:numPr>
                <w:numId w:val="0"/>
              </w:numPr>
              <w:autoSpaceDE/>
              <w:autoSpaceDN/>
              <w:adjustRightInd/>
              <w:spacing w:after="200"/>
              <w:ind w:leftChars="0"/>
              <w:rPr>
                <w:rFonts w:hint="default" w:asciiTheme="majorHAnsi" w:hAnsiTheme="majorHAnsi"/>
                <w:sz w:val="16"/>
                <w:szCs w:val="16"/>
                <w:lang/>
              </w:rPr>
            </w:pPr>
          </w:p>
        </w:tc>
      </w:tr>
    </w:tbl>
    <w:p>
      <w:pPr>
        <w:pStyle w:val="28"/>
        <w:spacing w:line="276" w:lineRule="auto"/>
        <w:jc w:val="both"/>
        <w:rPr>
          <w:rFonts w:cs="Times New Roman" w:asciiTheme="majorHAnsi" w:hAnsiTheme="majorHAnsi"/>
          <w:color w:val="auto"/>
          <w:sz w:val="22"/>
          <w:szCs w:val="22"/>
        </w:rPr>
      </w:pPr>
    </w:p>
    <w:sectPr>
      <w:headerReference r:id="rId3" w:type="default"/>
      <w:footerReference r:id="rId4" w:type="default"/>
      <w:pgSz w:w="11906" w:h="16838"/>
      <w:pgMar w:top="1440" w:right="1440" w:bottom="1276" w:left="1440" w:header="709" w:footer="709" w:gutter="567"/>
      <w:pgNumType w:start="49"/>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sz w:val="20"/>
        <w:szCs w:val="20"/>
      </w:rPr>
      <w:t xml:space="preserve"> </w:t>
    </w:r>
    <w:r>
      <w:rPr>
        <w:sz w:val="20"/>
        <w:szCs w:val="20"/>
      </w:rPr>
      <w:fldChar w:fldCharType="begin"/>
    </w:r>
    <w:r>
      <w:rPr>
        <w:sz w:val="20"/>
        <w:szCs w:val="20"/>
      </w:rPr>
      <w:instrText xml:space="preserve"> PAGE  \* Arabic </w:instrText>
    </w:r>
    <w:r>
      <w:rPr>
        <w:sz w:val="20"/>
        <w:szCs w:val="20"/>
      </w:rPr>
      <w:fldChar w:fldCharType="separate"/>
    </w:r>
    <w:r>
      <w:rPr>
        <w:sz w:val="20"/>
        <w:szCs w:val="20"/>
      </w:rPr>
      <w:t>50</w:t>
    </w:r>
    <w:r>
      <w:rPr>
        <w:sz w:val="20"/>
        <w:szCs w:val="20"/>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4F81BD" w:themeColor="accent1" w:sz="12" w:space="11"/>
      </w:pBdr>
      <w:tabs>
        <w:tab w:val="left" w:pos="3620"/>
        <w:tab w:val="left" w:pos="3964"/>
      </w:tabs>
      <w:spacing w:after="0"/>
      <w:ind w:firstLine="0"/>
      <w:rPr>
        <w:rFonts w:asciiTheme="majorHAnsi" w:hAnsiTheme="majorHAnsi" w:eastAsiaTheme="majorEastAsia" w:cstheme="majorBidi"/>
        <w:color w:val="366091" w:themeColor="accent1" w:themeShade="BF"/>
        <w:sz w:val="20"/>
        <w:szCs w:val="20"/>
      </w:rPr>
    </w:pPr>
    <w:sdt>
      <w:sdtPr>
        <w:rPr>
          <w:rFonts w:asciiTheme="majorHAnsi" w:hAnsiTheme="majorHAnsi" w:eastAsiaTheme="majorEastAsia" w:cstheme="majorBidi"/>
          <w:color w:val="366091" w:themeColor="accent1" w:themeShade="BF"/>
          <w:sz w:val="20"/>
          <w:szCs w:val="20"/>
        </w:rPr>
        <w:alias w:val="Title"/>
        <w:id w:val="-1814161289"/>
        <w:placeholder>
          <w:docPart w:val="EDB8D3FA42C84941ABC36C0AC9D91A02"/>
        </w:placeholder>
        <w15:dataBinding w:prefixMappings="xmlns:ns0='http://purl.org/dc/elements/1.1/' xmlns:ns1='http://schemas.openxmlformats.org/package/2006/metadata/core-properties' " w:xpath="/ns1:coreProperties[1]/ns0:title[1]" w:storeItemID="{6C3C8BC8-F283-45AE-878A-BAB7291924A1}"/>
        <w:text/>
      </w:sdtPr>
      <w:sdtEndPr>
        <w:rPr>
          <w:rFonts w:asciiTheme="majorHAnsi" w:hAnsiTheme="majorHAnsi" w:eastAsiaTheme="majorEastAsia" w:cstheme="majorBidi"/>
          <w:color w:val="366091" w:themeColor="accent1" w:themeShade="BF"/>
          <w:sz w:val="20"/>
          <w:szCs w:val="20"/>
        </w:rPr>
      </w:sdtEndPr>
      <w:sdtContent>
        <w:r>
          <w:rPr>
            <w:rFonts w:asciiTheme="majorHAnsi" w:hAnsiTheme="majorHAnsi" w:eastAsiaTheme="majorEastAsia" w:cstheme="majorBidi"/>
            <w:color w:val="366091" w:themeColor="accent1" w:themeShade="BF"/>
            <w:sz w:val="20"/>
            <w:szCs w:val="20"/>
          </w:rPr>
          <w:t>Perubahan Renstra Biro AP2BMD Tahun 2016-2021</w:t>
        </w:r>
      </w:sdtContent>
    </w:sdt>
  </w:p>
  <w:p>
    <w:pPr>
      <w:pStyle w:val="14"/>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119165"/>
    <w:multiLevelType w:val="singleLevel"/>
    <w:tmpl w:val="8D119165"/>
    <w:lvl w:ilvl="0" w:tentative="0">
      <w:start w:val="1"/>
      <w:numFmt w:val="decimal"/>
      <w:lvlText w:val="%1."/>
      <w:lvlJc w:val="left"/>
      <w:pPr>
        <w:tabs>
          <w:tab w:val="left" w:pos="425"/>
        </w:tabs>
        <w:ind w:left="425" w:leftChars="0" w:hanging="425" w:firstLineChars="0"/>
      </w:pPr>
      <w:rPr>
        <w:rFonts w:hint="default"/>
      </w:rPr>
    </w:lvl>
  </w:abstractNum>
  <w:abstractNum w:abstractNumId="1">
    <w:nsid w:val="216E42BA"/>
    <w:multiLevelType w:val="multilevel"/>
    <w:tmpl w:val="216E42BA"/>
    <w:lvl w:ilvl="0" w:tentative="0">
      <w:start w:val="1"/>
      <w:numFmt w:val="decimal"/>
      <w:lvlText w:val="%1."/>
      <w:lvlJc w:val="left"/>
      <w:pPr>
        <w:ind w:left="720" w:hanging="360"/>
      </w:pPr>
      <w:rPr>
        <w:rFonts w:hint="default" w:ascii="Cambria" w:hAnsi="Cambria" w:eastAsia="Times New Roman" w:cstheme="minorHAnsi"/>
        <w:b w:val="0"/>
        <w:color w:val="000000"/>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492A1BAE"/>
    <w:multiLevelType w:val="multilevel"/>
    <w:tmpl w:val="492A1BAE"/>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4FD01EED"/>
    <w:multiLevelType w:val="multilevel"/>
    <w:tmpl w:val="4FD01EED"/>
    <w:lvl w:ilvl="0" w:tentative="0">
      <w:start w:val="1"/>
      <w:numFmt w:val="decimal"/>
      <w:lvlText w:val="%1."/>
      <w:lvlJc w:val="left"/>
      <w:pPr>
        <w:ind w:left="720" w:hanging="360"/>
      </w:pPr>
      <w:rPr>
        <w:rFonts w:hint="default" w:ascii="Cambria" w:hAnsi="Cambria"/>
        <w:sz w:val="16"/>
        <w:szCs w:val="16"/>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8390065"/>
    <w:multiLevelType w:val="multilevel"/>
    <w:tmpl w:val="78390065"/>
    <w:lvl w:ilvl="0" w:tentative="0">
      <w:start w:val="1"/>
      <w:numFmt w:val="decimal"/>
      <w:lvlText w:val="%1."/>
      <w:lvlJc w:val="left"/>
      <w:pPr>
        <w:ind w:left="720" w:hanging="360"/>
      </w:pPr>
      <w:rPr>
        <w:rFonts w:hint="default"/>
        <w:sz w:val="16"/>
        <w:szCs w:val="16"/>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A8804B7"/>
    <w:multiLevelType w:val="multilevel"/>
    <w:tmpl w:val="7A8804B7"/>
    <w:lvl w:ilvl="0" w:tentative="0">
      <w:start w:val="1"/>
      <w:numFmt w:val="decimal"/>
      <w:lvlText w:val="%1."/>
      <w:lvlJc w:val="left"/>
      <w:pPr>
        <w:ind w:left="720" w:hanging="360"/>
      </w:pPr>
      <w:rPr>
        <w:rFonts w:hint="default" w:ascii="Cambria" w:hAnsi="Cambria"/>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CDBA7BC"/>
    <w:multiLevelType w:val="singleLevel"/>
    <w:tmpl w:val="7CDBA7BC"/>
    <w:lvl w:ilvl="0" w:tentative="0">
      <w:start w:val="1"/>
      <w:numFmt w:val="decimal"/>
      <w:suff w:val="space"/>
      <w:lvlText w:val="%1."/>
      <w:lvlJc w:val="left"/>
    </w:lvl>
  </w:abstractNum>
  <w:num w:numId="1">
    <w:abstractNumId w:val="2"/>
  </w:num>
  <w:num w:numId="2">
    <w:abstractNumId w:val="3"/>
  </w:num>
  <w:num w:numId="3">
    <w:abstractNumId w:val="5"/>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2"/>
  </w:compat>
  <w:rsids>
    <w:rsidRoot w:val="00FE6501"/>
    <w:rsid w:val="000041A9"/>
    <w:rsid w:val="000221C7"/>
    <w:rsid w:val="00033BE7"/>
    <w:rsid w:val="0004361B"/>
    <w:rsid w:val="00043CC1"/>
    <w:rsid w:val="000445A2"/>
    <w:rsid w:val="0005166B"/>
    <w:rsid w:val="000607D9"/>
    <w:rsid w:val="0006429F"/>
    <w:rsid w:val="00070FAB"/>
    <w:rsid w:val="000729AC"/>
    <w:rsid w:val="00074167"/>
    <w:rsid w:val="00076A8B"/>
    <w:rsid w:val="00081C98"/>
    <w:rsid w:val="00084DD5"/>
    <w:rsid w:val="00097712"/>
    <w:rsid w:val="000B4C4F"/>
    <w:rsid w:val="000B6E22"/>
    <w:rsid w:val="000D2426"/>
    <w:rsid w:val="000D376B"/>
    <w:rsid w:val="000E20CE"/>
    <w:rsid w:val="000E27BE"/>
    <w:rsid w:val="000E2B02"/>
    <w:rsid w:val="000E5CF2"/>
    <w:rsid w:val="00111191"/>
    <w:rsid w:val="00113DB9"/>
    <w:rsid w:val="00120175"/>
    <w:rsid w:val="00140095"/>
    <w:rsid w:val="00150E13"/>
    <w:rsid w:val="001721A6"/>
    <w:rsid w:val="001774FE"/>
    <w:rsid w:val="001844F6"/>
    <w:rsid w:val="00196364"/>
    <w:rsid w:val="001A4C2F"/>
    <w:rsid w:val="001C50B0"/>
    <w:rsid w:val="001C5538"/>
    <w:rsid w:val="001D0A6F"/>
    <w:rsid w:val="001D1DAC"/>
    <w:rsid w:val="001D4698"/>
    <w:rsid w:val="001D6618"/>
    <w:rsid w:val="001F2026"/>
    <w:rsid w:val="002004FD"/>
    <w:rsid w:val="0020759E"/>
    <w:rsid w:val="00210AA0"/>
    <w:rsid w:val="0022271B"/>
    <w:rsid w:val="00227290"/>
    <w:rsid w:val="00237C64"/>
    <w:rsid w:val="00246E79"/>
    <w:rsid w:val="00252855"/>
    <w:rsid w:val="00257046"/>
    <w:rsid w:val="002663D8"/>
    <w:rsid w:val="00266C6F"/>
    <w:rsid w:val="00270300"/>
    <w:rsid w:val="002749F2"/>
    <w:rsid w:val="00277F17"/>
    <w:rsid w:val="00290F83"/>
    <w:rsid w:val="002B55B2"/>
    <w:rsid w:val="002B5C95"/>
    <w:rsid w:val="002C5275"/>
    <w:rsid w:val="002D5F34"/>
    <w:rsid w:val="002D6B7A"/>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07BF"/>
    <w:rsid w:val="00361F74"/>
    <w:rsid w:val="00365D3B"/>
    <w:rsid w:val="003860CA"/>
    <w:rsid w:val="00395171"/>
    <w:rsid w:val="003A0D40"/>
    <w:rsid w:val="003B5984"/>
    <w:rsid w:val="003B7448"/>
    <w:rsid w:val="003C0B7F"/>
    <w:rsid w:val="003C42D7"/>
    <w:rsid w:val="003D1C0E"/>
    <w:rsid w:val="003D1E1F"/>
    <w:rsid w:val="003E08FB"/>
    <w:rsid w:val="003E2095"/>
    <w:rsid w:val="003F2FDB"/>
    <w:rsid w:val="00416D43"/>
    <w:rsid w:val="004374B2"/>
    <w:rsid w:val="00446910"/>
    <w:rsid w:val="0045650F"/>
    <w:rsid w:val="0046444C"/>
    <w:rsid w:val="00471728"/>
    <w:rsid w:val="00472067"/>
    <w:rsid w:val="004863CC"/>
    <w:rsid w:val="004A64C2"/>
    <w:rsid w:val="004C0EF2"/>
    <w:rsid w:val="004D238B"/>
    <w:rsid w:val="004D5061"/>
    <w:rsid w:val="004F3148"/>
    <w:rsid w:val="004F5695"/>
    <w:rsid w:val="00504AA6"/>
    <w:rsid w:val="00525360"/>
    <w:rsid w:val="00527015"/>
    <w:rsid w:val="00552583"/>
    <w:rsid w:val="00572E47"/>
    <w:rsid w:val="005A043D"/>
    <w:rsid w:val="005B33C5"/>
    <w:rsid w:val="005B3D52"/>
    <w:rsid w:val="005B427E"/>
    <w:rsid w:val="005C1306"/>
    <w:rsid w:val="005E71DF"/>
    <w:rsid w:val="005F1BFC"/>
    <w:rsid w:val="005F642D"/>
    <w:rsid w:val="005F7109"/>
    <w:rsid w:val="005F75A2"/>
    <w:rsid w:val="005F7B0B"/>
    <w:rsid w:val="0060083B"/>
    <w:rsid w:val="006016D6"/>
    <w:rsid w:val="00607051"/>
    <w:rsid w:val="0061166F"/>
    <w:rsid w:val="006124AF"/>
    <w:rsid w:val="0061560F"/>
    <w:rsid w:val="00616330"/>
    <w:rsid w:val="00625110"/>
    <w:rsid w:val="006263CD"/>
    <w:rsid w:val="00633941"/>
    <w:rsid w:val="00635C2B"/>
    <w:rsid w:val="00636A92"/>
    <w:rsid w:val="00662FA3"/>
    <w:rsid w:val="0066670F"/>
    <w:rsid w:val="00666872"/>
    <w:rsid w:val="006718A6"/>
    <w:rsid w:val="00673582"/>
    <w:rsid w:val="00677854"/>
    <w:rsid w:val="0068412F"/>
    <w:rsid w:val="0068627E"/>
    <w:rsid w:val="006875FE"/>
    <w:rsid w:val="00692D91"/>
    <w:rsid w:val="006B2D3E"/>
    <w:rsid w:val="006B5926"/>
    <w:rsid w:val="006C4418"/>
    <w:rsid w:val="006E2FD6"/>
    <w:rsid w:val="006E7D00"/>
    <w:rsid w:val="006F5378"/>
    <w:rsid w:val="00707196"/>
    <w:rsid w:val="00712939"/>
    <w:rsid w:val="00723660"/>
    <w:rsid w:val="0073272C"/>
    <w:rsid w:val="00736231"/>
    <w:rsid w:val="00745327"/>
    <w:rsid w:val="0074539F"/>
    <w:rsid w:val="00747BE4"/>
    <w:rsid w:val="00754FDE"/>
    <w:rsid w:val="00760569"/>
    <w:rsid w:val="00767AE0"/>
    <w:rsid w:val="00780923"/>
    <w:rsid w:val="0078198D"/>
    <w:rsid w:val="0078520E"/>
    <w:rsid w:val="00785AE4"/>
    <w:rsid w:val="00793719"/>
    <w:rsid w:val="007B4795"/>
    <w:rsid w:val="007C08A5"/>
    <w:rsid w:val="007C181B"/>
    <w:rsid w:val="007C409D"/>
    <w:rsid w:val="007D19D4"/>
    <w:rsid w:val="007E03FB"/>
    <w:rsid w:val="007E6448"/>
    <w:rsid w:val="00812AE9"/>
    <w:rsid w:val="00821F5C"/>
    <w:rsid w:val="00824C49"/>
    <w:rsid w:val="00827610"/>
    <w:rsid w:val="00827A7A"/>
    <w:rsid w:val="00835CB6"/>
    <w:rsid w:val="008363AB"/>
    <w:rsid w:val="00856601"/>
    <w:rsid w:val="008700C6"/>
    <w:rsid w:val="00870910"/>
    <w:rsid w:val="008751FA"/>
    <w:rsid w:val="00881903"/>
    <w:rsid w:val="00884573"/>
    <w:rsid w:val="008A211C"/>
    <w:rsid w:val="008B051C"/>
    <w:rsid w:val="008E1148"/>
    <w:rsid w:val="008E3D54"/>
    <w:rsid w:val="008F15FD"/>
    <w:rsid w:val="008F1EEE"/>
    <w:rsid w:val="008F497B"/>
    <w:rsid w:val="008F78E1"/>
    <w:rsid w:val="00901FD5"/>
    <w:rsid w:val="0090369C"/>
    <w:rsid w:val="009038AE"/>
    <w:rsid w:val="0091510C"/>
    <w:rsid w:val="00930346"/>
    <w:rsid w:val="0093316E"/>
    <w:rsid w:val="00937A4F"/>
    <w:rsid w:val="00944D58"/>
    <w:rsid w:val="00954388"/>
    <w:rsid w:val="009552B8"/>
    <w:rsid w:val="00955A97"/>
    <w:rsid w:val="009638FF"/>
    <w:rsid w:val="00967482"/>
    <w:rsid w:val="009747D7"/>
    <w:rsid w:val="00977D90"/>
    <w:rsid w:val="0098003D"/>
    <w:rsid w:val="00983451"/>
    <w:rsid w:val="009836FC"/>
    <w:rsid w:val="009846DF"/>
    <w:rsid w:val="009874F9"/>
    <w:rsid w:val="00992379"/>
    <w:rsid w:val="00995E93"/>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53BB0"/>
    <w:rsid w:val="00A63605"/>
    <w:rsid w:val="00A65F42"/>
    <w:rsid w:val="00A671AA"/>
    <w:rsid w:val="00A738B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43933"/>
    <w:rsid w:val="00B671BA"/>
    <w:rsid w:val="00B823B9"/>
    <w:rsid w:val="00B830C2"/>
    <w:rsid w:val="00B854CD"/>
    <w:rsid w:val="00B85608"/>
    <w:rsid w:val="00B96157"/>
    <w:rsid w:val="00BA1F16"/>
    <w:rsid w:val="00BC0EB8"/>
    <w:rsid w:val="00BC1171"/>
    <w:rsid w:val="00BC2C0B"/>
    <w:rsid w:val="00BC37E2"/>
    <w:rsid w:val="00BC55FA"/>
    <w:rsid w:val="00BC7808"/>
    <w:rsid w:val="00BD1769"/>
    <w:rsid w:val="00BD4C75"/>
    <w:rsid w:val="00BD4D95"/>
    <w:rsid w:val="00BE61B5"/>
    <w:rsid w:val="00BF59F0"/>
    <w:rsid w:val="00BF77A4"/>
    <w:rsid w:val="00C02E9A"/>
    <w:rsid w:val="00C1489A"/>
    <w:rsid w:val="00C16BBE"/>
    <w:rsid w:val="00C314EB"/>
    <w:rsid w:val="00C44923"/>
    <w:rsid w:val="00C53E18"/>
    <w:rsid w:val="00C62477"/>
    <w:rsid w:val="00C63354"/>
    <w:rsid w:val="00C643B5"/>
    <w:rsid w:val="00C66303"/>
    <w:rsid w:val="00C8239D"/>
    <w:rsid w:val="00C83686"/>
    <w:rsid w:val="00C87DF4"/>
    <w:rsid w:val="00C95CFE"/>
    <w:rsid w:val="00CA2AAF"/>
    <w:rsid w:val="00CB202F"/>
    <w:rsid w:val="00CB3359"/>
    <w:rsid w:val="00CE2CB2"/>
    <w:rsid w:val="00CF22DD"/>
    <w:rsid w:val="00CF5112"/>
    <w:rsid w:val="00D1153B"/>
    <w:rsid w:val="00D11C36"/>
    <w:rsid w:val="00D43A32"/>
    <w:rsid w:val="00D45113"/>
    <w:rsid w:val="00D52E09"/>
    <w:rsid w:val="00D57C47"/>
    <w:rsid w:val="00D62382"/>
    <w:rsid w:val="00D70730"/>
    <w:rsid w:val="00D83FA8"/>
    <w:rsid w:val="00D86B57"/>
    <w:rsid w:val="00D91E0D"/>
    <w:rsid w:val="00D93A69"/>
    <w:rsid w:val="00D97F17"/>
    <w:rsid w:val="00DA0218"/>
    <w:rsid w:val="00DA285A"/>
    <w:rsid w:val="00DC512A"/>
    <w:rsid w:val="00DD1636"/>
    <w:rsid w:val="00DD2006"/>
    <w:rsid w:val="00DD5883"/>
    <w:rsid w:val="00DE068F"/>
    <w:rsid w:val="00DE2961"/>
    <w:rsid w:val="00DF33BB"/>
    <w:rsid w:val="00E13A9E"/>
    <w:rsid w:val="00E13F31"/>
    <w:rsid w:val="00E25F83"/>
    <w:rsid w:val="00E32EFD"/>
    <w:rsid w:val="00E40746"/>
    <w:rsid w:val="00E45AE4"/>
    <w:rsid w:val="00E7186F"/>
    <w:rsid w:val="00E77BFA"/>
    <w:rsid w:val="00E82998"/>
    <w:rsid w:val="00E84FE9"/>
    <w:rsid w:val="00E92BAB"/>
    <w:rsid w:val="00E978C0"/>
    <w:rsid w:val="00EA3825"/>
    <w:rsid w:val="00EA6FFC"/>
    <w:rsid w:val="00EB0022"/>
    <w:rsid w:val="00EB301D"/>
    <w:rsid w:val="00EB3263"/>
    <w:rsid w:val="00EC7157"/>
    <w:rsid w:val="00ED397A"/>
    <w:rsid w:val="00ED524D"/>
    <w:rsid w:val="00EE61B2"/>
    <w:rsid w:val="00EF3355"/>
    <w:rsid w:val="00EF5176"/>
    <w:rsid w:val="00F005E7"/>
    <w:rsid w:val="00F16148"/>
    <w:rsid w:val="00F213CE"/>
    <w:rsid w:val="00F3059D"/>
    <w:rsid w:val="00F306E1"/>
    <w:rsid w:val="00F33145"/>
    <w:rsid w:val="00F35826"/>
    <w:rsid w:val="00F36854"/>
    <w:rsid w:val="00F4534E"/>
    <w:rsid w:val="00F50316"/>
    <w:rsid w:val="00F64A2E"/>
    <w:rsid w:val="00F66F66"/>
    <w:rsid w:val="00FA6865"/>
    <w:rsid w:val="00FB420D"/>
    <w:rsid w:val="00FD4352"/>
    <w:rsid w:val="00FD5449"/>
    <w:rsid w:val="00FD5FAC"/>
    <w:rsid w:val="00FE6501"/>
    <w:rsid w:val="00FF30F6"/>
    <w:rsid w:val="00FF5E2C"/>
    <w:rsid w:val="00FF7046"/>
    <w:rsid w:val="31A62E9A"/>
    <w:rsid w:val="4A4A5DAE"/>
    <w:rsid w:val="5CBA471A"/>
    <w:rsid w:val="66C334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pacing w:after="120" w:line="276" w:lineRule="auto"/>
      <w:ind w:firstLine="720"/>
      <w:jc w:val="both"/>
    </w:pPr>
    <w:rPr>
      <w:rFonts w:ascii="Bookman Old Style" w:hAnsi="Bookman Old Style" w:eastAsia="Times New Roman" w:cs="Times New Roman"/>
      <w:sz w:val="23"/>
      <w:szCs w:val="23"/>
      <w:lang w:val="id-ID" w:eastAsia="en-US" w:bidi="ar-SA"/>
    </w:rPr>
  </w:style>
  <w:style w:type="paragraph" w:styleId="2">
    <w:name w:val="heading 1"/>
    <w:basedOn w:val="1"/>
    <w:next w:val="1"/>
    <w:link w:val="19"/>
    <w:qFormat/>
    <w:uiPriority w:val="9"/>
    <w:pPr>
      <w:keepNext/>
      <w:keepLines/>
      <w:numPr>
        <w:ilvl w:val="0"/>
        <w:numId w:val="1"/>
      </w:numPr>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numPr>
        <w:ilvl w:val="1"/>
        <w:numId w:val="1"/>
      </w:numPr>
      <w:spacing w:before="240"/>
      <w:ind w:left="578" w:hanging="578"/>
      <w:outlineLvl w:val="1"/>
    </w:pPr>
    <w:rPr>
      <w:rFonts w:eastAsiaTheme="majorEastAsia" w:cstheme="majorBidi"/>
      <w:b/>
      <w:bCs/>
      <w:sz w:val="26"/>
      <w:szCs w:val="26"/>
    </w:rPr>
  </w:style>
  <w:style w:type="paragraph" w:styleId="4">
    <w:name w:val="heading 3"/>
    <w:basedOn w:val="1"/>
    <w:next w:val="1"/>
    <w:link w:val="21"/>
    <w:semiHidden/>
    <w:unhideWhenUsed/>
    <w:qFormat/>
    <w:uiPriority w:val="9"/>
    <w:pPr>
      <w:keepNext/>
      <w:keepLines/>
      <w:numPr>
        <w:ilvl w:val="2"/>
        <w:numId w:val="1"/>
      </w:numPr>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semiHidden/>
    <w:unhideWhenUsed/>
    <w:qFormat/>
    <w:uiPriority w:val="9"/>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6">
    <w:name w:val="heading 5"/>
    <w:basedOn w:val="1"/>
    <w:next w:val="1"/>
    <w:link w:val="23"/>
    <w:semiHidden/>
    <w:unhideWhenUsed/>
    <w:qFormat/>
    <w:uiPriority w:val="9"/>
    <w:pPr>
      <w:keepNext/>
      <w:keepLines/>
      <w:numPr>
        <w:ilvl w:val="4"/>
        <w:numId w:val="1"/>
      </w:numPr>
      <w:spacing w:before="200"/>
      <w:outlineLvl w:val="4"/>
    </w:pPr>
    <w:rPr>
      <w:rFonts w:asciiTheme="majorHAnsi" w:hAnsiTheme="majorHAnsi" w:eastAsiaTheme="majorEastAsia" w:cstheme="majorBidi"/>
      <w:color w:val="243F61" w:themeColor="accent1" w:themeShade="7F"/>
    </w:rPr>
  </w:style>
  <w:style w:type="paragraph" w:styleId="7">
    <w:name w:val="heading 6"/>
    <w:basedOn w:val="1"/>
    <w:next w:val="1"/>
    <w:link w:val="24"/>
    <w:semiHidden/>
    <w:unhideWhenUsed/>
    <w:qFormat/>
    <w:uiPriority w:val="9"/>
    <w:pPr>
      <w:keepNext/>
      <w:keepLines/>
      <w:numPr>
        <w:ilvl w:val="5"/>
        <w:numId w:val="1"/>
      </w:numPr>
      <w:spacing w:before="200"/>
      <w:outlineLvl w:val="5"/>
    </w:pPr>
    <w:rPr>
      <w:rFonts w:asciiTheme="majorHAnsi" w:hAnsiTheme="majorHAnsi" w:eastAsiaTheme="majorEastAsia" w:cstheme="majorBidi"/>
      <w:i/>
      <w:iCs/>
      <w:color w:val="243F61" w:themeColor="accent1" w:themeShade="7F"/>
    </w:rPr>
  </w:style>
  <w:style w:type="paragraph" w:styleId="8">
    <w:name w:val="heading 7"/>
    <w:basedOn w:val="1"/>
    <w:next w:val="1"/>
    <w:link w:val="25"/>
    <w:semiHidden/>
    <w:unhideWhenUsed/>
    <w:qFormat/>
    <w:uiPriority w:val="9"/>
    <w:pPr>
      <w:keepNext/>
      <w:keepLines/>
      <w:numPr>
        <w:ilvl w:val="6"/>
        <w:numId w:val="1"/>
      </w:numPr>
      <w:spacing w:before="200"/>
      <w:outlineLvl w:val="6"/>
    </w:pPr>
    <w:rPr>
      <w:rFonts w:asciiTheme="majorHAnsi" w:hAnsiTheme="majorHAnsi" w:eastAsiaTheme="majorEastAsia" w:cstheme="majorBidi"/>
      <w:i/>
      <w:iCs/>
      <w:color w:val="3F3F3F" w:themeColor="text1" w:themeTint="BF"/>
    </w:rPr>
  </w:style>
  <w:style w:type="paragraph" w:styleId="9">
    <w:name w:val="heading 8"/>
    <w:basedOn w:val="1"/>
    <w:next w:val="1"/>
    <w:link w:val="26"/>
    <w:semiHidden/>
    <w:unhideWhenUsed/>
    <w:qFormat/>
    <w:uiPriority w:val="9"/>
    <w:pPr>
      <w:keepNext/>
      <w:keepLines/>
      <w:numPr>
        <w:ilvl w:val="7"/>
        <w:numId w:val="1"/>
      </w:numPr>
      <w:spacing w:before="200"/>
      <w:outlineLvl w:val="7"/>
    </w:pPr>
    <w:rPr>
      <w:rFonts w:asciiTheme="majorHAnsi" w:hAnsiTheme="majorHAnsi" w:eastAsiaTheme="majorEastAsia" w:cstheme="majorBidi"/>
      <w:color w:val="3F3F3F" w:themeColor="text1" w:themeTint="BF"/>
      <w:sz w:val="20"/>
      <w:szCs w:val="20"/>
    </w:rPr>
  </w:style>
  <w:style w:type="paragraph" w:styleId="10">
    <w:name w:val="heading 9"/>
    <w:basedOn w:val="1"/>
    <w:next w:val="1"/>
    <w:link w:val="27"/>
    <w:semiHidden/>
    <w:unhideWhenUsed/>
    <w:qFormat/>
    <w:uiPriority w:val="9"/>
    <w:pPr>
      <w:keepNext/>
      <w:keepLines/>
      <w:numPr>
        <w:ilvl w:val="8"/>
        <w:numId w:val="1"/>
      </w:numPr>
      <w:spacing w:before="200"/>
      <w:outlineLvl w:val="8"/>
    </w:pPr>
    <w:rPr>
      <w:rFonts w:asciiTheme="majorHAnsi" w:hAnsiTheme="majorHAnsi" w:eastAsiaTheme="majorEastAsia" w:cstheme="majorBidi"/>
      <w:i/>
      <w:iCs/>
      <w:color w:val="3F3F3F" w:themeColor="text1" w:themeTint="BF"/>
      <w:sz w:val="20"/>
      <w:szCs w:val="20"/>
    </w:rPr>
  </w:style>
  <w:style w:type="character" w:default="1" w:styleId="16">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30"/>
    <w:semiHidden/>
    <w:unhideWhenUsed/>
    <w:qFormat/>
    <w:uiPriority w:val="99"/>
    <w:pPr>
      <w:spacing w:after="0" w:line="240" w:lineRule="auto"/>
    </w:pPr>
    <w:rPr>
      <w:rFonts w:ascii="Tahoma" w:hAnsi="Tahoma" w:cs="Tahoma"/>
      <w:sz w:val="16"/>
      <w:szCs w:val="16"/>
    </w:rPr>
  </w:style>
  <w:style w:type="paragraph" w:styleId="12">
    <w:name w:val="Body Text Indent 3"/>
    <w:basedOn w:val="1"/>
    <w:link w:val="31"/>
    <w:qFormat/>
    <w:uiPriority w:val="99"/>
    <w:pPr>
      <w:autoSpaceDE/>
      <w:autoSpaceDN/>
      <w:adjustRightInd/>
      <w:spacing w:line="240" w:lineRule="auto"/>
      <w:ind w:left="283" w:firstLine="0"/>
      <w:jc w:val="left"/>
    </w:pPr>
    <w:rPr>
      <w:rFonts w:ascii="Times New Roman" w:hAnsi="Times New Roman"/>
      <w:sz w:val="16"/>
      <w:szCs w:val="16"/>
      <w:lang w:val="en-US"/>
    </w:rPr>
  </w:style>
  <w:style w:type="paragraph" w:styleId="13">
    <w:name w:val="footer"/>
    <w:basedOn w:val="1"/>
    <w:link w:val="33"/>
    <w:unhideWhenUsed/>
    <w:qFormat/>
    <w:uiPriority w:val="99"/>
    <w:pPr>
      <w:tabs>
        <w:tab w:val="center" w:pos="4513"/>
        <w:tab w:val="right" w:pos="9026"/>
      </w:tabs>
      <w:spacing w:after="0" w:line="240" w:lineRule="auto"/>
    </w:pPr>
  </w:style>
  <w:style w:type="paragraph" w:styleId="14">
    <w:name w:val="header"/>
    <w:basedOn w:val="1"/>
    <w:link w:val="32"/>
    <w:unhideWhenUsed/>
    <w:qFormat/>
    <w:uiPriority w:val="99"/>
    <w:pPr>
      <w:tabs>
        <w:tab w:val="center" w:pos="4513"/>
        <w:tab w:val="right" w:pos="9026"/>
      </w:tabs>
      <w:spacing w:after="0" w:line="240" w:lineRule="auto"/>
    </w:pPr>
  </w:style>
  <w:style w:type="paragraph" w:styleId="15">
    <w:name w:val="Normal (Web)"/>
    <w:basedOn w:val="1"/>
    <w:semiHidden/>
    <w:unhideWhenUsed/>
    <w:uiPriority w:val="99"/>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18">
    <w:name w:val="Table Grid"/>
    <w:basedOn w:val="17"/>
    <w:uiPriority w:val="59"/>
    <w:rPr>
      <w:rFonts w:ascii="Calibri" w:hAnsi="Calibri" w:eastAsia="Calibri" w:cs="Times New Roman"/>
      <w:sz w:val="20"/>
      <w:szCs w:val="20"/>
      <w:lang w:eastAsia="id-ID"/>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Heading 1 Char"/>
    <w:basedOn w:val="16"/>
    <w:link w:val="2"/>
    <w:uiPriority w:val="9"/>
    <w:rPr>
      <w:rFonts w:asciiTheme="majorHAnsi" w:hAnsiTheme="majorHAnsi" w:eastAsiaTheme="majorEastAsia" w:cstheme="majorBidi"/>
      <w:b/>
      <w:bCs/>
      <w:color w:val="366091" w:themeColor="accent1" w:themeShade="BF"/>
      <w:sz w:val="28"/>
      <w:szCs w:val="28"/>
      <w:lang w:eastAsia="en-US"/>
    </w:rPr>
  </w:style>
  <w:style w:type="character" w:customStyle="1" w:styleId="20">
    <w:name w:val="Heading 2 Char"/>
    <w:basedOn w:val="16"/>
    <w:link w:val="3"/>
    <w:uiPriority w:val="9"/>
    <w:rPr>
      <w:rFonts w:ascii="Bookman Old Style" w:hAnsi="Bookman Old Style" w:eastAsiaTheme="majorEastAsia" w:cstheme="majorBidi"/>
      <w:b/>
      <w:bCs/>
      <w:sz w:val="26"/>
      <w:szCs w:val="26"/>
      <w:lang w:eastAsia="en-US"/>
    </w:rPr>
  </w:style>
  <w:style w:type="character" w:customStyle="1" w:styleId="21">
    <w:name w:val="Heading 3 Char"/>
    <w:basedOn w:val="16"/>
    <w:link w:val="4"/>
    <w:semiHidden/>
    <w:uiPriority w:val="9"/>
    <w:rPr>
      <w:rFonts w:asciiTheme="majorHAnsi" w:hAnsiTheme="majorHAnsi" w:eastAsiaTheme="majorEastAsia" w:cstheme="majorBidi"/>
      <w:b/>
      <w:bCs/>
      <w:color w:val="4F81BD" w:themeColor="accent1"/>
      <w:sz w:val="23"/>
      <w:szCs w:val="23"/>
      <w:lang w:eastAsia="en-US"/>
    </w:rPr>
  </w:style>
  <w:style w:type="character" w:customStyle="1" w:styleId="22">
    <w:name w:val="Heading 4 Char"/>
    <w:basedOn w:val="16"/>
    <w:link w:val="5"/>
    <w:semiHidden/>
    <w:uiPriority w:val="9"/>
    <w:rPr>
      <w:rFonts w:asciiTheme="majorHAnsi" w:hAnsiTheme="majorHAnsi" w:eastAsiaTheme="majorEastAsia" w:cstheme="majorBidi"/>
      <w:b/>
      <w:bCs/>
      <w:i/>
      <w:iCs/>
      <w:color w:val="4F81BD" w:themeColor="accent1"/>
      <w:sz w:val="23"/>
      <w:szCs w:val="23"/>
      <w:lang w:eastAsia="en-US"/>
    </w:rPr>
  </w:style>
  <w:style w:type="character" w:customStyle="1" w:styleId="23">
    <w:name w:val="Heading 5 Char"/>
    <w:basedOn w:val="16"/>
    <w:link w:val="6"/>
    <w:semiHidden/>
    <w:qFormat/>
    <w:uiPriority w:val="9"/>
    <w:rPr>
      <w:rFonts w:asciiTheme="majorHAnsi" w:hAnsiTheme="majorHAnsi" w:eastAsiaTheme="majorEastAsia" w:cstheme="majorBidi"/>
      <w:color w:val="243F61" w:themeColor="accent1" w:themeShade="7F"/>
      <w:sz w:val="23"/>
      <w:szCs w:val="23"/>
      <w:lang w:eastAsia="en-US"/>
    </w:rPr>
  </w:style>
  <w:style w:type="character" w:customStyle="1" w:styleId="24">
    <w:name w:val="Heading 6 Char"/>
    <w:basedOn w:val="16"/>
    <w:link w:val="7"/>
    <w:semiHidden/>
    <w:uiPriority w:val="9"/>
    <w:rPr>
      <w:rFonts w:asciiTheme="majorHAnsi" w:hAnsiTheme="majorHAnsi" w:eastAsiaTheme="majorEastAsia" w:cstheme="majorBidi"/>
      <w:i/>
      <w:iCs/>
      <w:color w:val="243F61" w:themeColor="accent1" w:themeShade="7F"/>
      <w:sz w:val="23"/>
      <w:szCs w:val="23"/>
      <w:lang w:eastAsia="en-US"/>
    </w:rPr>
  </w:style>
  <w:style w:type="character" w:customStyle="1" w:styleId="25">
    <w:name w:val="Heading 7 Char"/>
    <w:basedOn w:val="16"/>
    <w:link w:val="8"/>
    <w:semiHidden/>
    <w:uiPriority w:val="9"/>
    <w:rPr>
      <w:rFonts w:asciiTheme="majorHAnsi" w:hAnsiTheme="majorHAnsi" w:eastAsiaTheme="majorEastAsia" w:cstheme="majorBidi"/>
      <w:i/>
      <w:iCs/>
      <w:color w:val="3F3F3F" w:themeColor="text1" w:themeTint="BF"/>
      <w:sz w:val="23"/>
      <w:szCs w:val="23"/>
      <w:lang w:eastAsia="en-US"/>
    </w:rPr>
  </w:style>
  <w:style w:type="character" w:customStyle="1" w:styleId="26">
    <w:name w:val="Heading 8 Char"/>
    <w:basedOn w:val="16"/>
    <w:link w:val="9"/>
    <w:semiHidden/>
    <w:qFormat/>
    <w:uiPriority w:val="9"/>
    <w:rPr>
      <w:rFonts w:asciiTheme="majorHAnsi" w:hAnsiTheme="majorHAnsi" w:eastAsiaTheme="majorEastAsia" w:cstheme="majorBidi"/>
      <w:color w:val="3F3F3F" w:themeColor="text1" w:themeTint="BF"/>
      <w:sz w:val="20"/>
      <w:szCs w:val="20"/>
      <w:lang w:eastAsia="en-US"/>
    </w:rPr>
  </w:style>
  <w:style w:type="character" w:customStyle="1" w:styleId="27">
    <w:name w:val="Heading 9 Char"/>
    <w:basedOn w:val="16"/>
    <w:link w:val="10"/>
    <w:semiHidden/>
    <w:uiPriority w:val="9"/>
    <w:rPr>
      <w:rFonts w:asciiTheme="majorHAnsi" w:hAnsiTheme="majorHAnsi" w:eastAsiaTheme="majorEastAsia" w:cstheme="majorBidi"/>
      <w:i/>
      <w:iCs/>
      <w:color w:val="3F3F3F" w:themeColor="text1" w:themeTint="BF"/>
      <w:sz w:val="20"/>
      <w:szCs w:val="20"/>
      <w:lang w:eastAsia="en-US"/>
    </w:rPr>
  </w:style>
  <w:style w:type="paragraph" w:customStyle="1" w:styleId="28">
    <w:name w:val="Default"/>
    <w:qFormat/>
    <w:uiPriority w:val="0"/>
    <w:pPr>
      <w:autoSpaceDE w:val="0"/>
      <w:autoSpaceDN w:val="0"/>
      <w:adjustRightInd w:val="0"/>
      <w:spacing w:after="0" w:line="240" w:lineRule="auto"/>
    </w:pPr>
    <w:rPr>
      <w:rFonts w:ascii="Bookman Old Style" w:hAnsi="Bookman Old Style" w:cs="Bookman Old Style" w:eastAsiaTheme="minorEastAsia"/>
      <w:color w:val="000000"/>
      <w:sz w:val="24"/>
      <w:szCs w:val="24"/>
      <w:lang w:val="id-ID" w:eastAsia="ko-KR" w:bidi="ar-SA"/>
    </w:rPr>
  </w:style>
  <w:style w:type="paragraph" w:styleId="29">
    <w:name w:val="List Paragraph"/>
    <w:basedOn w:val="1"/>
    <w:link w:val="35"/>
    <w:qFormat/>
    <w:uiPriority w:val="34"/>
    <w:pPr>
      <w:ind w:left="720"/>
      <w:contextualSpacing/>
    </w:pPr>
  </w:style>
  <w:style w:type="character" w:customStyle="1" w:styleId="30">
    <w:name w:val="Balloon Text Char"/>
    <w:basedOn w:val="16"/>
    <w:link w:val="11"/>
    <w:semiHidden/>
    <w:uiPriority w:val="99"/>
    <w:rPr>
      <w:rFonts w:ascii="Tahoma" w:hAnsi="Tahoma" w:eastAsia="Times New Roman" w:cs="Tahoma"/>
      <w:sz w:val="16"/>
      <w:szCs w:val="16"/>
      <w:lang w:eastAsia="en-US"/>
    </w:rPr>
  </w:style>
  <w:style w:type="character" w:customStyle="1" w:styleId="31">
    <w:name w:val="Body Text Indent 3 Char"/>
    <w:basedOn w:val="16"/>
    <w:link w:val="12"/>
    <w:qFormat/>
    <w:uiPriority w:val="99"/>
    <w:rPr>
      <w:rFonts w:ascii="Times New Roman" w:hAnsi="Times New Roman" w:eastAsia="Times New Roman" w:cs="Times New Roman"/>
      <w:sz w:val="16"/>
      <w:szCs w:val="16"/>
      <w:lang w:val="en-US" w:eastAsia="en-US"/>
    </w:rPr>
  </w:style>
  <w:style w:type="character" w:customStyle="1" w:styleId="32">
    <w:name w:val="Header Char"/>
    <w:basedOn w:val="16"/>
    <w:link w:val="14"/>
    <w:qFormat/>
    <w:uiPriority w:val="99"/>
    <w:rPr>
      <w:rFonts w:ascii="Bookman Old Style" w:hAnsi="Bookman Old Style" w:eastAsia="Times New Roman" w:cs="Times New Roman"/>
      <w:sz w:val="23"/>
      <w:szCs w:val="23"/>
      <w:lang w:eastAsia="en-US"/>
    </w:rPr>
  </w:style>
  <w:style w:type="character" w:customStyle="1" w:styleId="33">
    <w:name w:val="Footer Char"/>
    <w:basedOn w:val="16"/>
    <w:link w:val="13"/>
    <w:uiPriority w:val="99"/>
    <w:rPr>
      <w:rFonts w:ascii="Bookman Old Style" w:hAnsi="Bookman Old Style" w:eastAsia="Times New Roman" w:cs="Times New Roman"/>
      <w:sz w:val="23"/>
      <w:szCs w:val="23"/>
      <w:lang w:eastAsia="en-US"/>
    </w:rPr>
  </w:style>
  <w:style w:type="character" w:styleId="34">
    <w:name w:val="Placeholder Text"/>
    <w:basedOn w:val="16"/>
    <w:semiHidden/>
    <w:uiPriority w:val="99"/>
    <w:rPr>
      <w:color w:val="808080"/>
    </w:rPr>
  </w:style>
  <w:style w:type="character" w:customStyle="1" w:styleId="35">
    <w:name w:val="List Paragraph Char"/>
    <w:link w:val="29"/>
    <w:locked/>
    <w:uiPriority w:val="34"/>
    <w:rPr>
      <w:rFonts w:ascii="Bookman Old Style" w:hAnsi="Bookman Old Style" w:eastAsia="Times New Roman" w:cs="Times New Roman"/>
      <w:sz w:val="23"/>
      <w:szCs w:val="23"/>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DB8D3FA42C84941ABC36C0AC9D91A02"/>
        <w:style w:val=""/>
        <w:category>
          <w:name w:val="General"/>
          <w:gallery w:val="placeholder"/>
        </w:category>
        <w:types>
          <w:type w:val="bbPlcHdr"/>
        </w:types>
        <w:behaviors>
          <w:behavior w:val="content"/>
        </w:behaviors>
        <w:description w:val=""/>
        <w:guid w:val="{1C2BB7BD-EE7F-4028-BD16-66F7EBF8A052}"/>
      </w:docPartPr>
      <w:docPartBody>
        <w:p>
          <w:pPr>
            <w:pStyle w:val="5"/>
          </w:pPr>
          <w:r>
            <w:rPr>
              <w:rFonts w:asciiTheme="majorHAnsi" w:hAnsiTheme="majorHAnsi" w:eastAsiaTheme="majorEastAsia" w:cstheme="majorBidi"/>
              <w:color w:val="366091"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218FD"/>
    <w:rsid w:val="00160157"/>
    <w:rsid w:val="001E7AB4"/>
    <w:rsid w:val="002A6F66"/>
    <w:rsid w:val="002E1FE8"/>
    <w:rsid w:val="00307035"/>
    <w:rsid w:val="00391847"/>
    <w:rsid w:val="003D0A0D"/>
    <w:rsid w:val="0040627F"/>
    <w:rsid w:val="004B6059"/>
    <w:rsid w:val="00732826"/>
    <w:rsid w:val="00851F6C"/>
    <w:rsid w:val="0091391A"/>
    <w:rsid w:val="00A1097B"/>
    <w:rsid w:val="00A13A62"/>
    <w:rsid w:val="00D129E8"/>
    <w:rsid w:val="00D73F52"/>
    <w:rsid w:val="00F22B83"/>
    <w:rsid w:val="00F40927"/>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qFormat/>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40340762A7464C118D340A60B7920B0A"/>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5">
    <w:name w:val="EDB8D3FA42C84941ABC36C0AC9D91A02"/>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6">
    <w:name w:val="B42107EB7B034C37B67ECC7FF3B972D5"/>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B3F371-68D7-496E-AB80-F6F0E3ABD9AC}">
  <ds:schemaRefs/>
</ds:datastoreItem>
</file>

<file path=docProps/app.xml><?xml version="1.0" encoding="utf-8"?>
<Properties xmlns="http://schemas.openxmlformats.org/officeDocument/2006/extended-properties" xmlns:vt="http://schemas.openxmlformats.org/officeDocument/2006/docPropsVTypes">
  <Template>Normal</Template>
  <Company>Toshiba</Company>
  <Pages>2</Pages>
  <Words>870</Words>
  <Characters>4962</Characters>
  <Lines>41</Lines>
  <Paragraphs>11</Paragraphs>
  <TotalTime>29</TotalTime>
  <ScaleCrop>false</ScaleCrop>
  <LinksUpToDate>false</LinksUpToDate>
  <CharactersWithSpaces>5821</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2018-01-08T01:34:00Z</dcterms:created>
  <dc:creator>pERUBAHAN RENSTRA 2016-2021</dc:creator>
  <cp:lastModifiedBy>LENOVO</cp:lastModifiedBy>
  <cp:lastPrinted>2019-10-24T08:16:00Z</cp:lastPrinted>
  <dcterms:modified xsi:type="dcterms:W3CDTF">2019-10-24T09:01:40Z</dcterms:modified>
  <dc:title>Perubahan Renstra Biro AP2BMD Tahun 2016-2021</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1057-11.2.0.8991</vt:lpwstr>
  </property>
</Properties>
</file>